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w:t>
      </w:r>
      <w:bookmarkStart w:id="5" w:name="_GoBack"/>
      <w:r>
        <w:rPr>
          <w:rFonts w:hint="eastAsia" w:ascii="Arial" w:hAnsi="Arial" w:cs="Arial"/>
          <w:b/>
          <w:sz w:val="24"/>
          <w:szCs w:val="24"/>
          <w:highlight w:val="none"/>
        </w:rPr>
        <w:t xml:space="preserve">R4-2216539 </w:t>
      </w:r>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6.13.3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last RAN4 meeting, we have reached good progress for ATG UE in [3], however there are still some open issues left for further discussion. In this contribution, we want to share further views on ATG UE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ATG UE requirements</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following section, some further considerations on the general topics of ATG UE are provided as following.</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-1-1: Assumption for ATG operating mode</w:t>
      </w:r>
    </w:p>
    <w:p>
      <w:pPr>
        <w:spacing w:after="160" w:line="259" w:lineRule="auto"/>
        <w:rPr>
          <w:rFonts w:hint="eastAsia"/>
          <w:sz w:val="21"/>
          <w:szCs w:val="22"/>
          <w:lang w:val="en-US" w:eastAsia="zh-CN"/>
        </w:rPr>
      </w:pPr>
      <w:r>
        <w:rPr>
          <w:rFonts w:hint="eastAsia"/>
          <w:sz w:val="21"/>
          <w:szCs w:val="22"/>
          <w:lang w:val="en-US" w:eastAsia="zh-CN"/>
        </w:rPr>
        <w:t xml:space="preserve">Given that the workload for ATG in Rel-17 has already been quite heavy, single carrier operation could be prioritized in the Rel-18 similar as Rel-16 FR1 HST and Rel-17 HST FR2 HST. For CA operation for ATG, this could be postponed to further release if there are strong market demand from interested operators. </w:t>
      </w:r>
    </w:p>
    <w:p>
      <w:pPr>
        <w:spacing w:after="160" w:line="259" w:lineRule="auto"/>
        <w:rPr>
          <w:rFonts w:hint="default"/>
          <w:sz w:val="21"/>
          <w:szCs w:val="22"/>
          <w:lang w:val="en-US" w:eastAsia="zh-CN"/>
        </w:rPr>
      </w:pPr>
      <w:r>
        <w:rPr>
          <w:rFonts w:hint="eastAsia"/>
          <w:b/>
          <w:bCs/>
          <w:sz w:val="21"/>
          <w:szCs w:val="22"/>
          <w:lang w:val="en-US" w:eastAsia="zh-CN"/>
        </w:rPr>
        <w:t>Proposal 1</w:t>
      </w:r>
      <w:r>
        <w:rPr>
          <w:rFonts w:hint="eastAsia"/>
          <w:sz w:val="21"/>
          <w:szCs w:val="22"/>
          <w:lang w:val="en-US" w:eastAsia="zh-CN"/>
        </w:rPr>
        <w:t>: to define single carrier operation in Rel-18 for ATG and postpone the CA operation in future release.</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-1-2a: Doppler/timing pre-compensation assumption</w:t>
      </w:r>
    </w:p>
    <w:p>
      <w:pPr>
        <w:spacing w:after="160" w:line="259" w:lineRule="auto"/>
        <w:rPr>
          <w:rFonts w:hint="default"/>
          <w:sz w:val="21"/>
          <w:szCs w:val="22"/>
          <w:lang w:val="en-US" w:eastAsia="zh-CN"/>
        </w:rPr>
      </w:pPr>
      <w:r>
        <w:rPr>
          <w:rFonts w:hint="eastAsia"/>
          <w:sz w:val="21"/>
          <w:szCs w:val="22"/>
          <w:lang w:val="en-US" w:eastAsia="zh-CN"/>
        </w:rPr>
        <w:t>Regarding the doppler/timing pre-compensation assumption, there were similar discussion in ATG UE RRM session and assumption between RF session and RRM session should be aligned. Indeed due to the high speed mobility of ATG CPE device and lager RTT between ATG BS and ATG UE (e.g. potentially larger than CP of PRACH channel), then both frequency/timing pre-compensation are necessary to ensure its performance in the practice. In addition, ATG is also part of Rel-17 NTN work item in RAN1/RAN2, therefore its network signalling (e.g. SIB19) to assistant NTN UE to do the frequency/timing compensation could be also reused for ATG UE.</w:t>
      </w:r>
    </w:p>
    <w:p>
      <w:pPr>
        <w:spacing w:after="160" w:line="259" w:lineRule="auto"/>
        <w:rPr>
          <w:rFonts w:hint="default"/>
          <w:sz w:val="21"/>
          <w:szCs w:val="22"/>
          <w:lang w:val="en-US" w:eastAsia="zh-TW"/>
        </w:rPr>
      </w:pPr>
      <w:r>
        <w:rPr>
          <w:rFonts w:hint="eastAsia"/>
          <w:b/>
          <w:bCs/>
          <w:sz w:val="21"/>
          <w:szCs w:val="22"/>
          <w:lang w:val="en-US" w:eastAsia="zh-CN"/>
        </w:rPr>
        <w:t>Proposal 2</w:t>
      </w:r>
      <w:r>
        <w:rPr>
          <w:rFonts w:hint="eastAsia"/>
          <w:sz w:val="21"/>
          <w:szCs w:val="22"/>
          <w:lang w:val="en-US" w:eastAsia="zh-CN"/>
        </w:rPr>
        <w:t>: to support the doppler/timing pre-compensation assumption for ATG UE.</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-1-3: subclause to capture ATG UE requirement</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last RAN4 meeting, there were some initial discussion on how to capture the ATG UE RF requirement into TS 38.101-1. From our understanding, to have separate subclause with suffix J in the TS 38.101-1 is reasonable approach since it could be expected that the RF requirement for ATG UE would be different from the legacy normal NR UEs.</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3:</w:t>
      </w:r>
      <w:r>
        <w:rPr>
          <w:rFonts w:hint="eastAsia"/>
          <w:sz w:val="20"/>
          <w:lang w:val="en-US" w:eastAsia="zh-CN"/>
        </w:rPr>
        <w:t xml:space="preserve">  to capture ATG UE RF requirement in separate subclause with suffix J in the TS 38.101-1</w:t>
      </w:r>
    </w:p>
    <w:p>
      <w:pPr>
        <w:autoSpaceDE/>
        <w:autoSpaceDN/>
        <w:adjustRightInd/>
        <w:snapToGrid/>
        <w:spacing w:before="0" w:beforeLines="-2147483648" w:after="0" w:afterLines="-2147483648" w:line="240" w:lineRule="auto"/>
        <w:jc w:val="left"/>
        <w:rPr>
          <w:rFonts w:hint="eastAsia"/>
          <w:sz w:val="20"/>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addition, in the following table 2, we share some further views on the ATG UE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spacing w:after="160" w:line="259" w:lineRule="auto"/>
              <w:rPr>
                <w:rFonts w:asciiTheme="minorHAnsi" w:hAnsiTheme="minorHAnsi" w:cstheme="minorHAnsi"/>
              </w:rPr>
            </w:pPr>
          </w:p>
        </w:tc>
        <w:tc>
          <w:tcPr>
            <w:tcW w:w="6193" w:type="dxa"/>
            <w:shd w:val="clear" w:color="auto" w:fill="D7D7D7" w:themeFill="background1" w:themeFillShade="D8"/>
          </w:tcPr>
          <w:p>
            <w:pPr>
              <w:spacing w:after="160" w:line="259" w:lineRule="auto"/>
              <w:rPr>
                <w:sz w:val="21"/>
                <w:szCs w:val="22"/>
                <w:lang w:eastAsia="zh-TW"/>
              </w:rPr>
            </w:pPr>
          </w:p>
          <w:p>
            <w:pPr>
              <w:spacing w:after="160" w:line="259" w:lineRule="auto"/>
              <w:rPr>
                <w:rFonts w:hint="eastAsia"/>
                <w:sz w:val="21"/>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TW" w:bidi="ar-SA"/>
              </w:rPr>
              <w:t>Generic requirements from TN should apply.</w:t>
            </w:r>
          </w:p>
          <w:p>
            <w:pPr>
              <w:spacing w:after="160" w:line="259" w:lineRule="auto"/>
              <w:rPr>
                <w:rFonts w:hint="default" w:ascii="Times New Roman" w:hAnsi="Times New Roman" w:eastAsia="宋体" w:cs="Times New Roman"/>
                <w:kern w:val="2"/>
                <w:sz w:val="21"/>
                <w:szCs w:val="22"/>
                <w:lang w:val="en-US"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Tx power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ot to define the power class for ATG UE similar as IAB-MT</w:t>
            </w:r>
            <w:r>
              <w:rPr>
                <w:rFonts w:hint="eastAsia" w:cs="Times New Roman"/>
                <w:kern w:val="2"/>
                <w:sz w:val="21"/>
                <w:szCs w:val="22"/>
                <w:lang w:val="en-US" w:eastAsia="zh-CN" w:bidi="ar-SA"/>
              </w:rPr>
              <w:t>.</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Main reason/motivation not to define the specific power class for ATG UE is that the type of ATG CPE might be varying among different operators in different bands due to its installation restrictions on the aircraft. For example, for FR1 high bands, then antenna array could be used for ATG CPE with beamforming capability, while this might be not feasible for some FR1 low bands due to its installation restrictions on the board in the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MPR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No MPR requirement </w:t>
            </w:r>
            <w:r>
              <w:rPr>
                <w:rFonts w:hint="eastAsia" w:cs="Times New Roman"/>
                <w:kern w:val="2"/>
                <w:sz w:val="21"/>
                <w:szCs w:val="22"/>
                <w:lang w:val="en-US" w:eastAsia="zh-CN" w:bidi="ar-SA"/>
              </w:rPr>
              <w:t>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A-MPR</w:t>
            </w:r>
          </w:p>
        </w:tc>
        <w:tc>
          <w:tcPr>
            <w:tcW w:w="1270" w:type="dxa"/>
          </w:tcPr>
          <w:p>
            <w:pPr>
              <w:spacing w:after="160" w:line="259" w:lineRule="auto"/>
              <w:rPr>
                <w:rFonts w:asciiTheme="minorHAnsi" w:hAnsiTheme="minorHAnsi" w:cstheme="minorHAnsi"/>
              </w:rPr>
            </w:pPr>
            <w:r>
              <w:rPr>
                <w:rFonts w:asciiTheme="minorHAnsi" w:hAnsiTheme="minorHAnsi" w:cstheme="minorHAnsi"/>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asciiTheme="minorHAnsi" w:hAnsiTheme="minorHAnsi" w:cstheme="minorHAnsi"/>
              </w:rPr>
            </w:pPr>
            <w:r>
              <w:rPr>
                <w:rFonts w:asciiTheme="minorHAnsi" w:hAnsiTheme="minorHAnsi" w:cstheme="minorHAnsi"/>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6193" w:type="dxa"/>
          </w:tcPr>
          <w:p>
            <w:pPr>
              <w:spacing w:after="160" w:line="259" w:lineRule="auto"/>
              <w:rPr>
                <w:rFonts w:hint="default" w:eastAsia="宋体" w:asciiTheme="minorHAnsi" w:hAnsiTheme="minorHAnsi" w:cstheme="minorHAnsi"/>
                <w:highlight w:val="yellow"/>
                <w:lang w:val="en-US" w:eastAsia="zh-CN"/>
              </w:rPr>
            </w:pPr>
            <w:r>
              <w:rPr>
                <w:rFonts w:hint="eastAsia" w:ascii="Times New Roman" w:hAnsi="Times New Roman" w:eastAsia="宋体" w:cs="Times New Roman"/>
                <w:kern w:val="2"/>
                <w:sz w:val="21"/>
                <w:szCs w:val="22"/>
                <w:lang w:val="en-US" w:eastAsia="zh-CN" w:bidi="ar-SA"/>
              </w:rPr>
              <w:t xml:space="preserve">To use the existing requirement defined for </w:t>
            </w: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TN UE in TS 38.101-</w:t>
            </w:r>
            <w:r>
              <w:rPr>
                <w:rFonts w:hint="eastAsia" w:cs="Times New Roman"/>
                <w:kern w:val="2"/>
                <w:sz w:val="21"/>
                <w:szCs w:val="22"/>
                <w:lang w:val="en-US" w:eastAsia="zh-CN" w:bidi="ar-SA"/>
              </w:rPr>
              <w:t>5</w:t>
            </w:r>
            <w:r>
              <w:rPr>
                <w:rFonts w:hint="eastAsia" w:ascii="Times New Roman" w:hAnsi="Times New Roman" w:eastAsia="宋体" w:cs="Times New Roman"/>
                <w:kern w:val="2"/>
                <w:sz w:val="21"/>
                <w:szCs w:val="22"/>
                <w:lang w:val="en-US" w:eastAsia="zh-CN" w:bidi="ar-SA"/>
              </w:rPr>
              <w:t xml:space="preserve"> as baseline</w:t>
            </w:r>
            <w:r>
              <w:rPr>
                <w:rFonts w:hint="eastAsia" w:cs="Times New Roman"/>
                <w:kern w:val="2"/>
                <w:sz w:val="21"/>
                <w:szCs w:val="22"/>
                <w:lang w:val="en-US" w:eastAsia="zh-CN" w:bidi="ar-SA"/>
              </w:rPr>
              <w:t xml:space="preserve"> given the freq compensation as proposed in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eastAsia"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requirements</w:t>
            </w:r>
            <w:r>
              <w:rPr>
                <w:rFonts w:hint="eastAsia" w:cs="Times New Roman"/>
                <w:kern w:val="2"/>
                <w:sz w:val="21"/>
                <w:szCs w:val="22"/>
                <w:lang w:val="en-US" w:eastAsia="zh-CN" w:bidi="ar-SA"/>
              </w:rPr>
              <w:t xml:space="preserve"> defined for TN UE in TS 38.101-1.</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In addition, whether to support the 256QAM in the uplink also need more discussions. Based on the initial link budget for ATG, high SNR could be only achieved when the scheduling bandwidth in the uplink is limited and pathloss is 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default" w:ascii="Times New Roman" w:hAnsi="Times New Roman" w:cs="Times New Roman"/>
              </w:rPr>
              <w:t>Expect the same as TN</w:t>
            </w:r>
            <w:r>
              <w:rPr>
                <w:rFonts w:hint="eastAsia" w:ascii="Times New Roman" w:hAnsi="Times New Roman" w:cs="Times New Roman"/>
                <w:lang w:val="en-US" w:eastAsia="zh-CN"/>
              </w:rPr>
              <w:t xml:space="preserve"> </w:t>
            </w:r>
            <w:r>
              <w:rPr>
                <w:rFonts w:hint="eastAsia" w:cs="Times New Roman"/>
                <w:kern w:val="2"/>
                <w:sz w:val="21"/>
                <w:szCs w:val="22"/>
                <w:lang w:val="en-US" w:eastAsia="zh-CN" w:bidi="ar-SA"/>
              </w:rPr>
              <w:t>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TW" w:bidi="ar-SA"/>
              </w:rPr>
              <w:t>Generic requirements from TN</w:t>
            </w:r>
            <w:r>
              <w:rPr>
                <w:rFonts w:hint="eastAsia" w:cs="Times New Roman"/>
                <w:kern w:val="2"/>
                <w:sz w:val="21"/>
                <w:szCs w:val="22"/>
                <w:lang w:val="en-US" w:eastAsia="zh-CN" w:bidi="ar-SA"/>
              </w:rPr>
              <w:t xml:space="preserve"> in TS 38.101-1.</w:t>
            </w:r>
            <w:r>
              <w:rPr>
                <w:rFonts w:hint="default" w:ascii="Times New Roman" w:hAnsi="Times New Roman" w:eastAsia="宋体" w:cs="Times New Roman"/>
                <w:kern w:val="2"/>
                <w:sz w:val="21"/>
                <w:szCs w:val="22"/>
                <w:lang w:val="en-US" w:eastAsia="zh-TW" w:bidi="ar-SA"/>
              </w:rPr>
              <w:t xml:space="preserve"> should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Only 2 Rx</w:t>
            </w:r>
            <w:r>
              <w:rPr>
                <w:rFonts w:hint="eastAsia" w:cs="Times New Roman"/>
                <w:kern w:val="2"/>
                <w:sz w:val="21"/>
                <w:szCs w:val="22"/>
                <w:lang w:val="en-US" w:eastAsia="zh-CN" w:bidi="ar-SA"/>
              </w:rPr>
              <w:t xml:space="preserve"> branches</w:t>
            </w:r>
            <w:r>
              <w:rPr>
                <w:rFonts w:hint="default"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are</w:t>
            </w:r>
            <w:r>
              <w:rPr>
                <w:rFonts w:hint="default" w:ascii="Times New Roman" w:hAnsi="Times New Roman" w:eastAsia="宋体" w:cs="Times New Roman"/>
                <w:kern w:val="2"/>
                <w:sz w:val="21"/>
                <w:szCs w:val="22"/>
                <w:lang w:val="en-US" w:eastAsia="zh-CN" w:bidi="ar-SA"/>
              </w:rPr>
              <w:t xml:space="preserve"> needed and it’s not necessary to mandate 4Rx for band n1/n78 and n79 since antenna assumptions for ATG UE and handheld smartphone </w:t>
            </w:r>
            <w:r>
              <w:rPr>
                <w:rFonts w:hint="eastAsia" w:cs="Times New Roman"/>
                <w:kern w:val="2"/>
                <w:sz w:val="21"/>
                <w:szCs w:val="22"/>
                <w:lang w:val="en-US" w:eastAsia="zh-CN" w:bidi="ar-SA"/>
              </w:rPr>
              <w:t>are</w:t>
            </w:r>
            <w:r>
              <w:rPr>
                <w:rFonts w:hint="default" w:ascii="Times New Roman" w:hAnsi="Times New Roman" w:eastAsia="宋体" w:cs="Times New Roman"/>
                <w:kern w:val="2"/>
                <w:sz w:val="21"/>
                <w:szCs w:val="22"/>
                <w:lang w:val="en-US" w:eastAsia="zh-CN" w:bidi="ar-SA"/>
              </w:rPr>
              <w:t xml:space="preserve">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Reference requirements</w:t>
            </w:r>
            <w:r>
              <w:rPr>
                <w:rFonts w:hint="eastAsia" w:cs="Times New Roman"/>
                <w:kern w:val="2"/>
                <w:sz w:val="21"/>
                <w:szCs w:val="22"/>
                <w:lang w:val="en-US" w:eastAsia="zh-CN" w:bidi="ar-SA"/>
              </w:rPr>
              <w:t xml:space="preserve"> of band n1/78/79</w:t>
            </w:r>
            <w:r>
              <w:rPr>
                <w:rFonts w:hint="default" w:ascii="Times New Roman" w:hAnsi="Times New Roman" w:eastAsia="宋体" w:cs="Times New Roman"/>
                <w:kern w:val="2"/>
                <w:sz w:val="21"/>
                <w:szCs w:val="22"/>
                <w:lang w:val="en-US" w:eastAsia="zh-CN" w:bidi="ar-SA"/>
              </w:rPr>
              <w:t xml:space="preserve"> for 2Rx</w:t>
            </w:r>
            <w:r>
              <w:rPr>
                <w:rFonts w:hint="eastAsia" w:cs="Times New Roman"/>
                <w:kern w:val="2"/>
                <w:sz w:val="21"/>
                <w:szCs w:val="22"/>
                <w:lang w:val="en-US" w:eastAsia="zh-CN" w:bidi="ar-SA"/>
              </w:rPr>
              <w:t xml:space="preserve">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whether this requirement could be further relaxed similar as NR over NTN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TW"/>
              </w:rPr>
            </w:pPr>
            <w:r>
              <w:rPr>
                <w:rFonts w:hint="default" w:cs="Times New Roman"/>
                <w:lang w:val="en-US" w:eastAsia="zh-CN"/>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much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investigated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To reuse </w:t>
            </w:r>
            <w:r>
              <w:rPr>
                <w:rFonts w:hint="default" w:cs="Times New Roman"/>
                <w:lang w:val="en-US" w:eastAsia="zh-TW"/>
              </w:rPr>
              <w:t>General requirements</w:t>
            </w:r>
            <w:r>
              <w:rPr>
                <w:rFonts w:hint="default" w:cs="Times New Roman"/>
                <w:lang w:val="en-US" w:eastAsia="zh-CN"/>
              </w:rPr>
              <w:t xml:space="preserve"> defined in TS 38.101-1</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RF requirements and proposals are made as following:</w:t>
      </w:r>
    </w:p>
    <w:p>
      <w:pPr>
        <w:spacing w:after="0" w:line="260" w:lineRule="auto"/>
        <w:rPr>
          <w:rFonts w:hint="default"/>
          <w:sz w:val="21"/>
          <w:szCs w:val="22"/>
          <w:lang w:val="en-US" w:eastAsia="zh-CN"/>
        </w:rPr>
      </w:pPr>
      <w:r>
        <w:rPr>
          <w:rFonts w:hint="eastAsia"/>
          <w:b/>
          <w:bCs/>
          <w:sz w:val="21"/>
          <w:szCs w:val="22"/>
          <w:lang w:val="en-US" w:eastAsia="zh-CN"/>
        </w:rPr>
        <w:t>Proposal 1</w:t>
      </w:r>
      <w:r>
        <w:rPr>
          <w:rFonts w:hint="eastAsia"/>
          <w:sz w:val="21"/>
          <w:szCs w:val="22"/>
          <w:lang w:val="en-US" w:eastAsia="zh-CN"/>
        </w:rPr>
        <w:t>: to define single carrier operation in Rel-18 for ATG and postpone the CA operation in future release.</w:t>
      </w:r>
    </w:p>
    <w:p>
      <w:pPr>
        <w:spacing w:after="0" w:line="260" w:lineRule="auto"/>
        <w:rPr>
          <w:rFonts w:hint="default"/>
          <w:sz w:val="21"/>
          <w:szCs w:val="22"/>
          <w:lang w:val="en-US" w:eastAsia="zh-TW"/>
        </w:rPr>
      </w:pPr>
      <w:r>
        <w:rPr>
          <w:rFonts w:hint="eastAsia"/>
          <w:b/>
          <w:bCs/>
          <w:sz w:val="21"/>
          <w:szCs w:val="22"/>
          <w:lang w:val="en-US" w:eastAsia="zh-CN"/>
        </w:rPr>
        <w:t>Proposal 2</w:t>
      </w:r>
      <w:r>
        <w:rPr>
          <w:rFonts w:hint="eastAsia"/>
          <w:sz w:val="21"/>
          <w:szCs w:val="22"/>
          <w:lang w:val="en-US" w:eastAsia="zh-CN"/>
        </w:rPr>
        <w:t>: to support the doppler/timing pre-compensation assumption for ATG UE.</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b/>
          <w:bCs/>
          <w:sz w:val="20"/>
          <w:lang w:val="en-US" w:eastAsia="zh-CN"/>
        </w:rPr>
        <w:t>Proposal 3:</w:t>
      </w:r>
      <w:r>
        <w:rPr>
          <w:rFonts w:hint="eastAsia"/>
          <w:sz w:val="20"/>
          <w:lang w:val="en-US" w:eastAsia="zh-CN"/>
        </w:rPr>
        <w:t xml:space="preserve"> to capture ATG UE RF requirement in separate subclause with suffix J in the TS 38.101-1</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3"/>
        </w:numPr>
        <w:rPr>
          <w:rFonts w:hint="default" w:ascii="Times New Roman" w:hAnsi="Times New Roman" w:eastAsia="宋体" w:cs="Times New Roman"/>
          <w:sz w:val="18"/>
          <w:szCs w:val="18"/>
          <w:lang w:val="en-US" w:eastAsia="zh-CN"/>
        </w:rPr>
      </w:pPr>
      <w:r>
        <w:rPr>
          <w:rFonts w:ascii="Times New Roman" w:hAnsi="Times New Roman" w:cs="Times New Roman"/>
          <w:b w:val="0"/>
          <w:sz w:val="18"/>
          <w:szCs w:val="18"/>
          <w:u w:val="none"/>
        </w:rPr>
        <w:t>R4-2214247</w:t>
      </w:r>
      <w:r>
        <w:rPr>
          <w:rFonts w:hint="eastAsia" w:cs="Times New Roman"/>
          <w:b w:val="0"/>
          <w:sz w:val="18"/>
          <w:szCs w:val="18"/>
          <w:u w:val="none"/>
          <w:lang w:val="en-US" w:eastAsia="zh-CN"/>
        </w:rPr>
        <w:t>,</w:t>
      </w:r>
      <w:r>
        <w:rPr>
          <w:b w:val="0"/>
          <w:sz w:val="18"/>
          <w:szCs w:val="18"/>
          <w:lang w:val="en-US" w:eastAsia="zh-CN"/>
        </w:rPr>
        <w:tab/>
      </w:r>
      <w:r>
        <w:rPr>
          <w:rFonts w:ascii="Times New Roman" w:hAnsi="Times New Roman" w:cs="Times New Roman"/>
          <w:b w:val="0"/>
          <w:sz w:val="18"/>
          <w:szCs w:val="18"/>
        </w:rPr>
        <w:t>Email Discussion Summary for [104-e][136] NR_ATG_UERF</w:t>
      </w:r>
      <w:r>
        <w:rPr>
          <w:rFonts w:hint="eastAsia" w:cs="Times New Roman"/>
          <w:b w:val="0"/>
          <w:sz w:val="18"/>
          <w:szCs w:val="18"/>
          <w:lang w:val="en-US" w:eastAsia="zh-CN"/>
        </w:rPr>
        <w:t>, CMCC, Noted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9B40DC"/>
    <w:rsid w:val="04A5740D"/>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281319"/>
    <w:rsid w:val="0E3217E8"/>
    <w:rsid w:val="0E387AA5"/>
    <w:rsid w:val="0E3F0E9A"/>
    <w:rsid w:val="0E400D03"/>
    <w:rsid w:val="0E485C9B"/>
    <w:rsid w:val="0E597059"/>
    <w:rsid w:val="0E5E2B07"/>
    <w:rsid w:val="0E771E51"/>
    <w:rsid w:val="0E796EA0"/>
    <w:rsid w:val="0E7A2A61"/>
    <w:rsid w:val="0E7C0762"/>
    <w:rsid w:val="0E806CA1"/>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9E0"/>
    <w:rsid w:val="10FA45D2"/>
    <w:rsid w:val="11024527"/>
    <w:rsid w:val="110A4489"/>
    <w:rsid w:val="11150F62"/>
    <w:rsid w:val="111A28E5"/>
    <w:rsid w:val="112100B5"/>
    <w:rsid w:val="112F54D2"/>
    <w:rsid w:val="1133321C"/>
    <w:rsid w:val="113816DB"/>
    <w:rsid w:val="11457D8C"/>
    <w:rsid w:val="11461F96"/>
    <w:rsid w:val="114C3CA8"/>
    <w:rsid w:val="114D3A1D"/>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12D9E"/>
    <w:rsid w:val="21F54612"/>
    <w:rsid w:val="21FF71D8"/>
    <w:rsid w:val="22021B37"/>
    <w:rsid w:val="2209399D"/>
    <w:rsid w:val="22096946"/>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771B32"/>
    <w:rsid w:val="257B16DE"/>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2FC9"/>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744059"/>
    <w:rsid w:val="35771AC2"/>
    <w:rsid w:val="357960B4"/>
    <w:rsid w:val="35836AB4"/>
    <w:rsid w:val="358618B0"/>
    <w:rsid w:val="3589285D"/>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9265A"/>
    <w:rsid w:val="36B121C7"/>
    <w:rsid w:val="36B2486C"/>
    <w:rsid w:val="36BA14F4"/>
    <w:rsid w:val="36BE13E1"/>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563E1"/>
    <w:rsid w:val="47167C67"/>
    <w:rsid w:val="47333B1B"/>
    <w:rsid w:val="47351654"/>
    <w:rsid w:val="473D0BD8"/>
    <w:rsid w:val="47457188"/>
    <w:rsid w:val="476407BD"/>
    <w:rsid w:val="47644CFB"/>
    <w:rsid w:val="47666951"/>
    <w:rsid w:val="47683159"/>
    <w:rsid w:val="476A7D07"/>
    <w:rsid w:val="477858D8"/>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912A5"/>
    <w:rsid w:val="541942B6"/>
    <w:rsid w:val="542A3FEF"/>
    <w:rsid w:val="542A5504"/>
    <w:rsid w:val="542F7A60"/>
    <w:rsid w:val="54346136"/>
    <w:rsid w:val="5452765B"/>
    <w:rsid w:val="54550067"/>
    <w:rsid w:val="545716E1"/>
    <w:rsid w:val="54580F5A"/>
    <w:rsid w:val="54637F02"/>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6097A"/>
    <w:rsid w:val="732A4A9B"/>
    <w:rsid w:val="733202B6"/>
    <w:rsid w:val="73343997"/>
    <w:rsid w:val="73370B0A"/>
    <w:rsid w:val="733C723A"/>
    <w:rsid w:val="733C7C6A"/>
    <w:rsid w:val="734C3798"/>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2022-09-30T14:50:48Z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